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0EF9" w14:textId="77777777" w:rsidR="00B06A89" w:rsidRPr="00B06A89" w:rsidRDefault="00B06A89" w:rsidP="00B06A89">
      <w:pPr>
        <w:jc w:val="center"/>
        <w:rPr>
          <w:rFonts w:ascii="Calibri" w:hAnsi="Calibri" w:cs="Calibri"/>
          <w:b/>
          <w:bCs/>
          <w:sz w:val="40"/>
          <w:szCs w:val="40"/>
        </w:rPr>
      </w:pPr>
      <w:r w:rsidRPr="00B06A89">
        <w:rPr>
          <w:rFonts w:ascii="Calibri" w:hAnsi="Calibri" w:cs="Calibri"/>
          <w:b/>
          <w:bCs/>
          <w:sz w:val="40"/>
          <w:szCs w:val="40"/>
        </w:rPr>
        <w:t>Horham &amp; Athelington Parish Council</w:t>
      </w:r>
    </w:p>
    <w:p w14:paraId="6CB12086" w14:textId="431E6B99" w:rsidR="00B06A89" w:rsidRPr="00B06A89" w:rsidRDefault="00B06A89" w:rsidP="00B06A89">
      <w:pPr>
        <w:jc w:val="center"/>
        <w:rPr>
          <w:rFonts w:ascii="Calibri" w:hAnsi="Calibri" w:cs="Calibri"/>
          <w:sz w:val="40"/>
          <w:szCs w:val="40"/>
        </w:rPr>
      </w:pPr>
      <w:r w:rsidRPr="00B06A89">
        <w:rPr>
          <w:rFonts w:ascii="Calibri" w:hAnsi="Calibri" w:cs="Calibri"/>
          <w:sz w:val="40"/>
          <w:szCs w:val="40"/>
        </w:rPr>
        <w:t>General and Earmarked Reserves Policy</w:t>
      </w:r>
    </w:p>
    <w:p w14:paraId="6239AC1D" w14:textId="77777777" w:rsidR="00B06A89" w:rsidRPr="00B06A89" w:rsidRDefault="00B06A89" w:rsidP="00B06A89">
      <w:pPr>
        <w:rPr>
          <w:rFonts w:ascii="Calibri" w:hAnsi="Calibri" w:cs="Calibri"/>
          <w:b/>
          <w:bCs/>
        </w:rPr>
      </w:pPr>
      <w:r w:rsidRPr="00B06A89">
        <w:rPr>
          <w:rFonts w:ascii="Calibri" w:hAnsi="Calibri" w:cs="Calibri"/>
          <w:b/>
          <w:bCs/>
        </w:rPr>
        <w:t>1. Introduction</w:t>
      </w:r>
    </w:p>
    <w:p w14:paraId="598CC30E" w14:textId="77777777" w:rsidR="00B06A89" w:rsidRPr="00B06A89" w:rsidRDefault="00B06A89" w:rsidP="00B06A89">
      <w:pPr>
        <w:rPr>
          <w:rFonts w:ascii="Calibri" w:hAnsi="Calibri" w:cs="Calibri"/>
        </w:rPr>
      </w:pPr>
      <w:r w:rsidRPr="00B06A89">
        <w:rPr>
          <w:rFonts w:ascii="Calibri" w:hAnsi="Calibri" w:cs="Calibri"/>
        </w:rPr>
        <w:t>Horham &amp; Athelington Parish Council is required to maintain adequate financial reserves to meet its statutory responsibilities, ensure effective financial management, and safeguard public funds. This policy sets out how the Council will manage both its General Reserves and Earmarked Reserves.</w:t>
      </w:r>
    </w:p>
    <w:p w14:paraId="0823C6DB" w14:textId="036E750E" w:rsidR="00B06A89" w:rsidRPr="00B06A89" w:rsidRDefault="00B06A89" w:rsidP="00B06A89">
      <w:pPr>
        <w:rPr>
          <w:rFonts w:ascii="Calibri" w:hAnsi="Calibri" w:cs="Calibri"/>
        </w:rPr>
      </w:pPr>
    </w:p>
    <w:p w14:paraId="5F908012" w14:textId="77777777" w:rsidR="00B06A89" w:rsidRPr="00B06A89" w:rsidRDefault="00B06A89" w:rsidP="00B06A89">
      <w:pPr>
        <w:rPr>
          <w:rFonts w:ascii="Calibri" w:hAnsi="Calibri" w:cs="Calibri"/>
          <w:b/>
          <w:bCs/>
        </w:rPr>
      </w:pPr>
      <w:r w:rsidRPr="00B06A89">
        <w:rPr>
          <w:rFonts w:ascii="Calibri" w:hAnsi="Calibri" w:cs="Calibri"/>
          <w:b/>
          <w:bCs/>
        </w:rPr>
        <w:t>2. General Reserves</w:t>
      </w:r>
    </w:p>
    <w:p w14:paraId="458E1B70" w14:textId="77777777" w:rsidR="00B06A89" w:rsidRPr="00B06A89" w:rsidRDefault="00B06A89" w:rsidP="00B06A89">
      <w:pPr>
        <w:rPr>
          <w:rFonts w:ascii="Calibri" w:hAnsi="Calibri" w:cs="Calibri"/>
          <w:b/>
          <w:bCs/>
        </w:rPr>
      </w:pPr>
      <w:r w:rsidRPr="00B06A89">
        <w:rPr>
          <w:rFonts w:ascii="Calibri" w:hAnsi="Calibri" w:cs="Calibri"/>
          <w:b/>
          <w:bCs/>
        </w:rPr>
        <w:t>Purpose</w:t>
      </w:r>
    </w:p>
    <w:p w14:paraId="77BF7CEA" w14:textId="77777777" w:rsidR="00B06A89" w:rsidRPr="00B06A89" w:rsidRDefault="00B06A89" w:rsidP="00B06A89">
      <w:pPr>
        <w:rPr>
          <w:rFonts w:ascii="Calibri" w:hAnsi="Calibri" w:cs="Calibri"/>
        </w:rPr>
      </w:pPr>
      <w:r w:rsidRPr="00B06A89">
        <w:rPr>
          <w:rFonts w:ascii="Calibri" w:hAnsi="Calibri" w:cs="Calibri"/>
        </w:rPr>
        <w:t>General Reserves are funds not allocated to specific projects or purposes. They are maintained to:</w:t>
      </w:r>
    </w:p>
    <w:p w14:paraId="08280610" w14:textId="77777777" w:rsidR="00B06A89" w:rsidRPr="00B06A89" w:rsidRDefault="00B06A89" w:rsidP="00B06A89">
      <w:pPr>
        <w:numPr>
          <w:ilvl w:val="0"/>
          <w:numId w:val="1"/>
        </w:numPr>
        <w:rPr>
          <w:rFonts w:ascii="Calibri" w:hAnsi="Calibri" w:cs="Calibri"/>
        </w:rPr>
      </w:pPr>
      <w:r w:rsidRPr="00B06A89">
        <w:rPr>
          <w:rFonts w:ascii="Calibri" w:hAnsi="Calibri" w:cs="Calibri"/>
        </w:rPr>
        <w:t>Provide a working balance to meet cash flow requirements.</w:t>
      </w:r>
    </w:p>
    <w:p w14:paraId="027D3A68" w14:textId="77777777" w:rsidR="00B06A89" w:rsidRPr="00B06A89" w:rsidRDefault="00B06A89" w:rsidP="00B06A89">
      <w:pPr>
        <w:numPr>
          <w:ilvl w:val="0"/>
          <w:numId w:val="1"/>
        </w:numPr>
        <w:rPr>
          <w:rFonts w:ascii="Calibri" w:hAnsi="Calibri" w:cs="Calibri"/>
        </w:rPr>
      </w:pPr>
      <w:r w:rsidRPr="00B06A89">
        <w:rPr>
          <w:rFonts w:ascii="Calibri" w:hAnsi="Calibri" w:cs="Calibri"/>
        </w:rPr>
        <w:t>Cover unexpected or emergency expenditure.</w:t>
      </w:r>
    </w:p>
    <w:p w14:paraId="193649CD" w14:textId="77777777" w:rsidR="00B06A89" w:rsidRPr="00B06A89" w:rsidRDefault="00B06A89" w:rsidP="00B06A89">
      <w:pPr>
        <w:numPr>
          <w:ilvl w:val="0"/>
          <w:numId w:val="1"/>
        </w:numPr>
        <w:rPr>
          <w:rFonts w:ascii="Calibri" w:hAnsi="Calibri" w:cs="Calibri"/>
        </w:rPr>
      </w:pPr>
      <w:r w:rsidRPr="00B06A89">
        <w:rPr>
          <w:rFonts w:ascii="Calibri" w:hAnsi="Calibri" w:cs="Calibri"/>
        </w:rPr>
        <w:t>Provide financial resilience against unforeseen events or risks.</w:t>
      </w:r>
    </w:p>
    <w:p w14:paraId="52BA02C8" w14:textId="77777777" w:rsidR="00B06A89" w:rsidRPr="00B06A89" w:rsidRDefault="00B06A89" w:rsidP="00B06A89">
      <w:pPr>
        <w:rPr>
          <w:rFonts w:ascii="Calibri" w:hAnsi="Calibri" w:cs="Calibri"/>
          <w:b/>
          <w:bCs/>
        </w:rPr>
      </w:pPr>
      <w:r w:rsidRPr="00B06A89">
        <w:rPr>
          <w:rFonts w:ascii="Calibri" w:hAnsi="Calibri" w:cs="Calibri"/>
          <w:b/>
          <w:bCs/>
        </w:rPr>
        <w:t>Level of General Reserves</w:t>
      </w:r>
    </w:p>
    <w:p w14:paraId="4509A42C" w14:textId="213EDB44" w:rsidR="00B06A89" w:rsidRPr="00B06A89" w:rsidRDefault="00B06A89" w:rsidP="00B06A89">
      <w:pPr>
        <w:numPr>
          <w:ilvl w:val="0"/>
          <w:numId w:val="2"/>
        </w:numPr>
        <w:rPr>
          <w:rFonts w:ascii="Calibri" w:hAnsi="Calibri" w:cs="Calibri"/>
        </w:rPr>
      </w:pPr>
      <w:r w:rsidRPr="00B06A89">
        <w:rPr>
          <w:rFonts w:ascii="Calibri" w:hAnsi="Calibri" w:cs="Calibri"/>
        </w:rPr>
        <w:t xml:space="preserve">The Council will aim to maintain General Reserves at a level equivalent to between 3 and 12 months of </w:t>
      </w:r>
      <w:r w:rsidRPr="008F5614">
        <w:rPr>
          <w:rFonts w:ascii="Calibri" w:hAnsi="Calibri" w:cs="Calibri"/>
        </w:rPr>
        <w:t>the precept.</w:t>
      </w:r>
    </w:p>
    <w:p w14:paraId="1DEC0CF2" w14:textId="77777777" w:rsidR="00B06A89" w:rsidRPr="00B06A89" w:rsidRDefault="00B06A89" w:rsidP="00B06A89">
      <w:pPr>
        <w:numPr>
          <w:ilvl w:val="0"/>
          <w:numId w:val="2"/>
        </w:numPr>
        <w:rPr>
          <w:rFonts w:ascii="Calibri" w:hAnsi="Calibri" w:cs="Calibri"/>
        </w:rPr>
      </w:pPr>
      <w:r w:rsidRPr="00B06A89">
        <w:rPr>
          <w:rFonts w:ascii="Calibri" w:hAnsi="Calibri" w:cs="Calibri"/>
        </w:rPr>
        <w:t>The appropriate level will be reviewed annually when the budget and precept are set.</w:t>
      </w:r>
    </w:p>
    <w:p w14:paraId="03B9550B" w14:textId="77777777" w:rsidR="00B06A89" w:rsidRPr="00B06A89" w:rsidRDefault="00B06A89" w:rsidP="00B06A89">
      <w:pPr>
        <w:numPr>
          <w:ilvl w:val="0"/>
          <w:numId w:val="2"/>
        </w:numPr>
        <w:rPr>
          <w:rFonts w:ascii="Calibri" w:hAnsi="Calibri" w:cs="Calibri"/>
        </w:rPr>
      </w:pPr>
      <w:r w:rsidRPr="00B06A89">
        <w:rPr>
          <w:rFonts w:ascii="Calibri" w:hAnsi="Calibri" w:cs="Calibri"/>
        </w:rPr>
        <w:t>Where General Reserves fall below the minimum level, the Council will agree a plan to rebuild them.</w:t>
      </w:r>
    </w:p>
    <w:p w14:paraId="78003227" w14:textId="77777777" w:rsidR="00B06A89" w:rsidRPr="00B06A89" w:rsidRDefault="00B06A89" w:rsidP="00B06A89">
      <w:pPr>
        <w:numPr>
          <w:ilvl w:val="0"/>
          <w:numId w:val="2"/>
        </w:numPr>
        <w:rPr>
          <w:rFonts w:ascii="Calibri" w:hAnsi="Calibri" w:cs="Calibri"/>
        </w:rPr>
      </w:pPr>
      <w:r w:rsidRPr="00B06A89">
        <w:rPr>
          <w:rFonts w:ascii="Calibri" w:hAnsi="Calibri" w:cs="Calibri"/>
        </w:rPr>
        <w:t>Where General Reserves significantly exceed the recommended level, the Council will consider reallocating funds to Earmarked Reserves or community projects.</w:t>
      </w:r>
    </w:p>
    <w:p w14:paraId="3A90F3FC" w14:textId="4E3CDDF0" w:rsidR="00B06A89" w:rsidRPr="00B06A89" w:rsidRDefault="00B06A89" w:rsidP="00B06A89">
      <w:pPr>
        <w:rPr>
          <w:rFonts w:ascii="Calibri" w:hAnsi="Calibri" w:cs="Calibri"/>
        </w:rPr>
      </w:pPr>
    </w:p>
    <w:p w14:paraId="65ECE116" w14:textId="77777777" w:rsidR="00B06A89" w:rsidRPr="00B06A89" w:rsidRDefault="00B06A89" w:rsidP="00B06A89">
      <w:pPr>
        <w:rPr>
          <w:rFonts w:ascii="Calibri" w:hAnsi="Calibri" w:cs="Calibri"/>
          <w:b/>
          <w:bCs/>
        </w:rPr>
      </w:pPr>
      <w:r w:rsidRPr="00B06A89">
        <w:rPr>
          <w:rFonts w:ascii="Calibri" w:hAnsi="Calibri" w:cs="Calibri"/>
          <w:b/>
          <w:bCs/>
        </w:rPr>
        <w:t>3. Earmarked Reserves</w:t>
      </w:r>
    </w:p>
    <w:p w14:paraId="4B840154" w14:textId="77777777" w:rsidR="00B06A89" w:rsidRPr="00B06A89" w:rsidRDefault="00B06A89" w:rsidP="00B06A89">
      <w:pPr>
        <w:rPr>
          <w:rFonts w:ascii="Calibri" w:hAnsi="Calibri" w:cs="Calibri"/>
          <w:b/>
          <w:bCs/>
        </w:rPr>
      </w:pPr>
      <w:r w:rsidRPr="00B06A89">
        <w:rPr>
          <w:rFonts w:ascii="Calibri" w:hAnsi="Calibri" w:cs="Calibri"/>
          <w:b/>
          <w:bCs/>
        </w:rPr>
        <w:t>Purpose</w:t>
      </w:r>
    </w:p>
    <w:p w14:paraId="2233C26B" w14:textId="77777777" w:rsidR="00B06A89" w:rsidRPr="00B06A89" w:rsidRDefault="00B06A89" w:rsidP="00B06A89">
      <w:pPr>
        <w:rPr>
          <w:rFonts w:ascii="Calibri" w:hAnsi="Calibri" w:cs="Calibri"/>
        </w:rPr>
      </w:pPr>
      <w:r w:rsidRPr="00B06A89">
        <w:rPr>
          <w:rFonts w:ascii="Calibri" w:hAnsi="Calibri" w:cs="Calibri"/>
        </w:rPr>
        <w:t>Earmarked Reserves are funds set aside for specific projects, activities, or future liabilities. They provide clarity and transparency in financial planning.</w:t>
      </w:r>
    </w:p>
    <w:p w14:paraId="36B6409D" w14:textId="77777777" w:rsidR="00B06A89" w:rsidRPr="00B06A89" w:rsidRDefault="00B06A89" w:rsidP="00B06A89">
      <w:pPr>
        <w:rPr>
          <w:rFonts w:ascii="Calibri" w:hAnsi="Calibri" w:cs="Calibri"/>
        </w:rPr>
      </w:pPr>
      <w:r w:rsidRPr="00B06A89">
        <w:rPr>
          <w:rFonts w:ascii="Calibri" w:hAnsi="Calibri" w:cs="Calibri"/>
        </w:rPr>
        <w:t>Examples include (but are not limited to):</w:t>
      </w:r>
    </w:p>
    <w:p w14:paraId="08D9944A" w14:textId="69587805" w:rsidR="00B06A89" w:rsidRPr="00B06A89" w:rsidRDefault="00B06A89" w:rsidP="00B06A89">
      <w:pPr>
        <w:numPr>
          <w:ilvl w:val="0"/>
          <w:numId w:val="3"/>
        </w:numPr>
        <w:rPr>
          <w:rFonts w:ascii="Calibri" w:hAnsi="Calibri" w:cs="Calibri"/>
        </w:rPr>
      </w:pPr>
      <w:r w:rsidRPr="00B06A89">
        <w:rPr>
          <w:rFonts w:ascii="Calibri" w:hAnsi="Calibri" w:cs="Calibri"/>
        </w:rPr>
        <w:t>Asset replacement</w:t>
      </w:r>
      <w:r w:rsidR="008F5614" w:rsidRPr="008F5614">
        <w:rPr>
          <w:rFonts w:ascii="Calibri" w:hAnsi="Calibri" w:cs="Calibri"/>
        </w:rPr>
        <w:t>.</w:t>
      </w:r>
    </w:p>
    <w:p w14:paraId="1E1A98C7" w14:textId="77777777" w:rsidR="00B06A89" w:rsidRPr="00B06A89" w:rsidRDefault="00B06A89" w:rsidP="00B06A89">
      <w:pPr>
        <w:numPr>
          <w:ilvl w:val="0"/>
          <w:numId w:val="3"/>
        </w:numPr>
        <w:rPr>
          <w:rFonts w:ascii="Calibri" w:hAnsi="Calibri" w:cs="Calibri"/>
        </w:rPr>
      </w:pPr>
      <w:r w:rsidRPr="00B06A89">
        <w:rPr>
          <w:rFonts w:ascii="Calibri" w:hAnsi="Calibri" w:cs="Calibri"/>
        </w:rPr>
        <w:t>Grounds maintenance or play area improvements.</w:t>
      </w:r>
    </w:p>
    <w:p w14:paraId="7D63BF1D" w14:textId="77777777" w:rsidR="00B06A89" w:rsidRPr="00B06A89" w:rsidRDefault="00B06A89" w:rsidP="00B06A89">
      <w:pPr>
        <w:numPr>
          <w:ilvl w:val="0"/>
          <w:numId w:val="3"/>
        </w:numPr>
        <w:rPr>
          <w:rFonts w:ascii="Calibri" w:hAnsi="Calibri" w:cs="Calibri"/>
        </w:rPr>
      </w:pPr>
      <w:r w:rsidRPr="00B06A89">
        <w:rPr>
          <w:rFonts w:ascii="Calibri" w:hAnsi="Calibri" w:cs="Calibri"/>
        </w:rPr>
        <w:t>Election costs.</w:t>
      </w:r>
    </w:p>
    <w:p w14:paraId="76A7BDE8" w14:textId="77777777" w:rsidR="00B06A89" w:rsidRPr="00B06A89" w:rsidRDefault="00B06A89" w:rsidP="00B06A89">
      <w:pPr>
        <w:numPr>
          <w:ilvl w:val="0"/>
          <w:numId w:val="3"/>
        </w:numPr>
        <w:rPr>
          <w:rFonts w:ascii="Calibri" w:hAnsi="Calibri" w:cs="Calibri"/>
        </w:rPr>
      </w:pPr>
      <w:r w:rsidRPr="00B06A89">
        <w:rPr>
          <w:rFonts w:ascii="Calibri" w:hAnsi="Calibri" w:cs="Calibri"/>
        </w:rPr>
        <w:t>Community projects and grant schemes.</w:t>
      </w:r>
    </w:p>
    <w:p w14:paraId="1C2D6F96" w14:textId="77777777" w:rsidR="00B06A89" w:rsidRPr="00B06A89" w:rsidRDefault="00B06A89" w:rsidP="00B06A89">
      <w:pPr>
        <w:numPr>
          <w:ilvl w:val="0"/>
          <w:numId w:val="3"/>
        </w:numPr>
        <w:rPr>
          <w:rFonts w:ascii="Calibri" w:hAnsi="Calibri" w:cs="Calibri"/>
        </w:rPr>
      </w:pPr>
      <w:r w:rsidRPr="00B06A89">
        <w:rPr>
          <w:rFonts w:ascii="Calibri" w:hAnsi="Calibri" w:cs="Calibri"/>
        </w:rPr>
        <w:t>Professional fees or consultancy for major projects.</w:t>
      </w:r>
    </w:p>
    <w:p w14:paraId="161E7C2D" w14:textId="77777777" w:rsidR="00B06A89" w:rsidRPr="00B06A89" w:rsidRDefault="00B06A89" w:rsidP="00B06A89">
      <w:pPr>
        <w:numPr>
          <w:ilvl w:val="0"/>
          <w:numId w:val="3"/>
        </w:numPr>
        <w:rPr>
          <w:rFonts w:ascii="Calibri" w:hAnsi="Calibri" w:cs="Calibri"/>
        </w:rPr>
      </w:pPr>
      <w:r w:rsidRPr="00B06A89">
        <w:rPr>
          <w:rFonts w:ascii="Calibri" w:hAnsi="Calibri" w:cs="Calibri"/>
        </w:rPr>
        <w:lastRenderedPageBreak/>
        <w:t>Match-funding requirements for grant applications.</w:t>
      </w:r>
    </w:p>
    <w:p w14:paraId="2A8E840B" w14:textId="77777777" w:rsidR="00B06A89" w:rsidRPr="00B06A89" w:rsidRDefault="00B06A89" w:rsidP="00B06A89">
      <w:pPr>
        <w:rPr>
          <w:rFonts w:ascii="Calibri" w:hAnsi="Calibri" w:cs="Calibri"/>
          <w:b/>
          <w:bCs/>
        </w:rPr>
      </w:pPr>
      <w:r w:rsidRPr="00B06A89">
        <w:rPr>
          <w:rFonts w:ascii="Calibri" w:hAnsi="Calibri" w:cs="Calibri"/>
          <w:b/>
          <w:bCs/>
        </w:rPr>
        <w:t>Creation and Use of Earmarked Reserves</w:t>
      </w:r>
    </w:p>
    <w:p w14:paraId="386C6E97" w14:textId="77777777" w:rsidR="00B06A89" w:rsidRPr="00B06A89" w:rsidRDefault="00B06A89" w:rsidP="00B06A89">
      <w:pPr>
        <w:numPr>
          <w:ilvl w:val="0"/>
          <w:numId w:val="4"/>
        </w:numPr>
        <w:rPr>
          <w:rFonts w:ascii="Calibri" w:hAnsi="Calibri" w:cs="Calibri"/>
        </w:rPr>
      </w:pPr>
      <w:r w:rsidRPr="00B06A89">
        <w:rPr>
          <w:rFonts w:ascii="Calibri" w:hAnsi="Calibri" w:cs="Calibri"/>
        </w:rPr>
        <w:t>Earmarked Reserves may be established, increased, reduced, or closed only by resolution of the Council.</w:t>
      </w:r>
    </w:p>
    <w:p w14:paraId="32DB7378" w14:textId="77777777" w:rsidR="00B06A89" w:rsidRPr="00B06A89" w:rsidRDefault="00B06A89" w:rsidP="00B06A89">
      <w:pPr>
        <w:numPr>
          <w:ilvl w:val="0"/>
          <w:numId w:val="4"/>
        </w:numPr>
        <w:rPr>
          <w:rFonts w:ascii="Calibri" w:hAnsi="Calibri" w:cs="Calibri"/>
        </w:rPr>
      </w:pPr>
      <w:r w:rsidRPr="00B06A89">
        <w:rPr>
          <w:rFonts w:ascii="Calibri" w:hAnsi="Calibri" w:cs="Calibri"/>
        </w:rPr>
        <w:t>Proposals for new reserves must identify the purpose, estimated cost, and timescale.</w:t>
      </w:r>
    </w:p>
    <w:p w14:paraId="27E9898D" w14:textId="77777777" w:rsidR="00B06A89" w:rsidRPr="00B06A89" w:rsidRDefault="00B06A89" w:rsidP="00B06A89">
      <w:pPr>
        <w:numPr>
          <w:ilvl w:val="0"/>
          <w:numId w:val="4"/>
        </w:numPr>
        <w:rPr>
          <w:rFonts w:ascii="Calibri" w:hAnsi="Calibri" w:cs="Calibri"/>
        </w:rPr>
      </w:pPr>
      <w:r w:rsidRPr="00B06A89">
        <w:rPr>
          <w:rFonts w:ascii="Calibri" w:hAnsi="Calibri" w:cs="Calibri"/>
        </w:rPr>
        <w:t>Earmarked Reserves will be reviewed annually as part of the budget-setting process.</w:t>
      </w:r>
    </w:p>
    <w:p w14:paraId="454EC096" w14:textId="77777777" w:rsidR="00B06A89" w:rsidRPr="00B06A89" w:rsidRDefault="00B06A89" w:rsidP="00B06A89">
      <w:pPr>
        <w:numPr>
          <w:ilvl w:val="0"/>
          <w:numId w:val="4"/>
        </w:numPr>
        <w:rPr>
          <w:rFonts w:ascii="Calibri" w:hAnsi="Calibri" w:cs="Calibri"/>
        </w:rPr>
      </w:pPr>
      <w:r w:rsidRPr="00B06A89">
        <w:rPr>
          <w:rFonts w:ascii="Calibri" w:hAnsi="Calibri" w:cs="Calibri"/>
        </w:rPr>
        <w:t>Spending from Earmarked Reserves must be authorised by the Council and recorded in the minutes.</w:t>
      </w:r>
    </w:p>
    <w:p w14:paraId="793F1693" w14:textId="23E1BC85" w:rsidR="00B06A89" w:rsidRPr="00B06A89" w:rsidRDefault="00B06A89" w:rsidP="00B06A89">
      <w:pPr>
        <w:rPr>
          <w:rFonts w:ascii="Calibri" w:hAnsi="Calibri" w:cs="Calibri"/>
        </w:rPr>
      </w:pPr>
    </w:p>
    <w:p w14:paraId="04520EAD" w14:textId="77777777" w:rsidR="00B06A89" w:rsidRPr="00B06A89" w:rsidRDefault="00B06A89" w:rsidP="00B06A89">
      <w:pPr>
        <w:rPr>
          <w:rFonts w:ascii="Calibri" w:hAnsi="Calibri" w:cs="Calibri"/>
          <w:b/>
          <w:bCs/>
        </w:rPr>
      </w:pPr>
      <w:r w:rsidRPr="00B06A89">
        <w:rPr>
          <w:rFonts w:ascii="Calibri" w:hAnsi="Calibri" w:cs="Calibri"/>
          <w:b/>
          <w:bCs/>
        </w:rPr>
        <w:t>4. Review and Reporting</w:t>
      </w:r>
    </w:p>
    <w:p w14:paraId="5B09AD55" w14:textId="77777777" w:rsidR="00B06A89" w:rsidRPr="00B06A89" w:rsidRDefault="00B06A89" w:rsidP="00B06A89">
      <w:pPr>
        <w:numPr>
          <w:ilvl w:val="0"/>
          <w:numId w:val="5"/>
        </w:numPr>
        <w:rPr>
          <w:rFonts w:ascii="Calibri" w:hAnsi="Calibri" w:cs="Calibri"/>
        </w:rPr>
      </w:pPr>
      <w:r w:rsidRPr="00B06A89">
        <w:rPr>
          <w:rFonts w:ascii="Calibri" w:hAnsi="Calibri" w:cs="Calibri"/>
        </w:rPr>
        <w:t>The Responsible Financial Officer (RFO) will report the balance of General and Earmarked Reserves to the Council at least quarterly.</w:t>
      </w:r>
    </w:p>
    <w:p w14:paraId="1D4B6F59" w14:textId="77777777" w:rsidR="00B06A89" w:rsidRPr="00B06A89" w:rsidRDefault="00B06A89" w:rsidP="00B06A89">
      <w:pPr>
        <w:numPr>
          <w:ilvl w:val="0"/>
          <w:numId w:val="5"/>
        </w:numPr>
        <w:rPr>
          <w:rFonts w:ascii="Calibri" w:hAnsi="Calibri" w:cs="Calibri"/>
        </w:rPr>
      </w:pPr>
      <w:r w:rsidRPr="00B06A89">
        <w:rPr>
          <w:rFonts w:ascii="Calibri" w:hAnsi="Calibri" w:cs="Calibri"/>
        </w:rPr>
        <w:t>The adequacy and purpose of reserves will be reviewed annually when setting the budget and precept.</w:t>
      </w:r>
    </w:p>
    <w:p w14:paraId="71FB5829" w14:textId="77777777" w:rsidR="00B06A89" w:rsidRDefault="00B06A89" w:rsidP="00B06A89">
      <w:pPr>
        <w:numPr>
          <w:ilvl w:val="0"/>
          <w:numId w:val="5"/>
        </w:numPr>
        <w:rPr>
          <w:rFonts w:ascii="Calibri" w:hAnsi="Calibri" w:cs="Calibri"/>
        </w:rPr>
      </w:pPr>
      <w:r w:rsidRPr="00B06A89">
        <w:rPr>
          <w:rFonts w:ascii="Calibri" w:hAnsi="Calibri" w:cs="Calibri"/>
        </w:rPr>
        <w:t>This policy will be reviewed every three years or sooner if required by changes in legislation or local circumstances.</w:t>
      </w:r>
    </w:p>
    <w:p w14:paraId="0BB17F02" w14:textId="77777777" w:rsidR="008F5614" w:rsidRDefault="008F5614" w:rsidP="008F5614">
      <w:pPr>
        <w:rPr>
          <w:rFonts w:ascii="Calibri" w:hAnsi="Calibri" w:cs="Calibri"/>
        </w:rPr>
      </w:pPr>
    </w:p>
    <w:p w14:paraId="58298556" w14:textId="77777777" w:rsidR="008F5614" w:rsidRDefault="008F5614" w:rsidP="008F5614">
      <w:pPr>
        <w:rPr>
          <w:rFonts w:ascii="Calibri" w:hAnsi="Calibri" w:cs="Calibri"/>
        </w:rPr>
      </w:pPr>
    </w:p>
    <w:p w14:paraId="613F01EB" w14:textId="77777777" w:rsidR="008F5614" w:rsidRDefault="008F5614" w:rsidP="008F5614">
      <w:pPr>
        <w:rPr>
          <w:rFonts w:ascii="Calibri" w:hAnsi="Calibri" w:cs="Calibri"/>
        </w:rPr>
      </w:pPr>
    </w:p>
    <w:p w14:paraId="3E597BDB" w14:textId="77777777" w:rsidR="008F5614" w:rsidRDefault="008F5614" w:rsidP="008F5614">
      <w:pPr>
        <w:rPr>
          <w:rFonts w:ascii="Calibri" w:hAnsi="Calibri" w:cs="Calibri"/>
        </w:rPr>
      </w:pPr>
    </w:p>
    <w:p w14:paraId="08966A37" w14:textId="77777777" w:rsidR="008F5614" w:rsidRDefault="008F5614" w:rsidP="008F5614">
      <w:pPr>
        <w:rPr>
          <w:rFonts w:ascii="Calibri" w:hAnsi="Calibri" w:cs="Calibri"/>
        </w:rPr>
      </w:pPr>
    </w:p>
    <w:p w14:paraId="709E415C" w14:textId="77777777" w:rsidR="008F5614" w:rsidRDefault="008F5614" w:rsidP="008F5614">
      <w:pPr>
        <w:rPr>
          <w:rFonts w:ascii="Calibri" w:hAnsi="Calibri" w:cs="Calibri"/>
        </w:rPr>
      </w:pPr>
    </w:p>
    <w:p w14:paraId="2C6FF6D8" w14:textId="77777777" w:rsidR="008F5614" w:rsidRDefault="008F5614" w:rsidP="008F5614">
      <w:pPr>
        <w:rPr>
          <w:rFonts w:ascii="Calibri" w:hAnsi="Calibri" w:cs="Calibri"/>
        </w:rPr>
      </w:pPr>
    </w:p>
    <w:p w14:paraId="42F29033" w14:textId="77777777" w:rsidR="008F5614" w:rsidRDefault="008F5614" w:rsidP="008F5614">
      <w:pPr>
        <w:rPr>
          <w:rFonts w:ascii="Calibri" w:hAnsi="Calibri" w:cs="Calibri"/>
        </w:rPr>
      </w:pPr>
    </w:p>
    <w:p w14:paraId="10D5BFE5" w14:textId="77777777" w:rsidR="008F5614" w:rsidRDefault="008F5614" w:rsidP="008F5614">
      <w:pPr>
        <w:rPr>
          <w:rFonts w:ascii="Calibri" w:hAnsi="Calibri" w:cs="Calibri"/>
        </w:rPr>
      </w:pPr>
    </w:p>
    <w:p w14:paraId="7AFF6FEE" w14:textId="77777777" w:rsidR="008F5614" w:rsidRDefault="008F5614" w:rsidP="008F5614">
      <w:pPr>
        <w:rPr>
          <w:rFonts w:ascii="Calibri" w:hAnsi="Calibri" w:cs="Calibri"/>
        </w:rPr>
      </w:pPr>
    </w:p>
    <w:p w14:paraId="4B5ADE75" w14:textId="5594EE2C" w:rsidR="008F5614" w:rsidRDefault="008F5614" w:rsidP="008F5614">
      <w:pPr>
        <w:rPr>
          <w:rFonts w:ascii="Calibri" w:hAnsi="Calibri" w:cs="Calibri"/>
        </w:rPr>
      </w:pPr>
    </w:p>
    <w:p w14:paraId="58AED7FF" w14:textId="0D1DD9E4" w:rsidR="008F5614" w:rsidRPr="00B06A89" w:rsidRDefault="008F5614" w:rsidP="008F5614">
      <w:pPr>
        <w:rPr>
          <w:rFonts w:ascii="Calibri" w:hAnsi="Calibri" w:cs="Calibri"/>
        </w:rPr>
      </w:pPr>
      <w:r>
        <w:rPr>
          <w:rFonts w:ascii="Calibri" w:hAnsi="Calibri" w:cs="Calibri"/>
        </w:rPr>
        <w:t>Approved by………………………………………………………………….……………………. Date……………………………………</w:t>
      </w:r>
    </w:p>
    <w:p w14:paraId="2D10E89D" w14:textId="77777777" w:rsidR="00EB6D57" w:rsidRPr="008F5614" w:rsidRDefault="00EB6D57">
      <w:pPr>
        <w:rPr>
          <w:rFonts w:ascii="Calibri" w:hAnsi="Calibri" w:cs="Calibri"/>
        </w:rPr>
      </w:pPr>
    </w:p>
    <w:sectPr w:rsidR="00EB6D57" w:rsidRPr="008F56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7740"/>
    <w:multiLevelType w:val="multilevel"/>
    <w:tmpl w:val="28B2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E2A4C"/>
    <w:multiLevelType w:val="multilevel"/>
    <w:tmpl w:val="B8B2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FD40BA"/>
    <w:multiLevelType w:val="multilevel"/>
    <w:tmpl w:val="D8EC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72432C"/>
    <w:multiLevelType w:val="multilevel"/>
    <w:tmpl w:val="77E2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FD4284"/>
    <w:multiLevelType w:val="multilevel"/>
    <w:tmpl w:val="1FC6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5029046">
    <w:abstractNumId w:val="2"/>
  </w:num>
  <w:num w:numId="2" w16cid:durableId="1661041021">
    <w:abstractNumId w:val="3"/>
  </w:num>
  <w:num w:numId="3" w16cid:durableId="1315990251">
    <w:abstractNumId w:val="0"/>
  </w:num>
  <w:num w:numId="4" w16cid:durableId="967199593">
    <w:abstractNumId w:val="4"/>
  </w:num>
  <w:num w:numId="5" w16cid:durableId="1724015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89"/>
    <w:rsid w:val="007F66BF"/>
    <w:rsid w:val="008F5614"/>
    <w:rsid w:val="00B06A89"/>
    <w:rsid w:val="00C725CA"/>
    <w:rsid w:val="00EB6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EBCE"/>
  <w15:chartTrackingRefBased/>
  <w15:docId w15:val="{9688B966-F4B1-445F-A3E2-4875C2B5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A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A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A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A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A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A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A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A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A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A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A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A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A89"/>
    <w:rPr>
      <w:rFonts w:eastAsiaTheme="majorEastAsia" w:cstheme="majorBidi"/>
      <w:color w:val="272727" w:themeColor="text1" w:themeTint="D8"/>
    </w:rPr>
  </w:style>
  <w:style w:type="paragraph" w:styleId="Title">
    <w:name w:val="Title"/>
    <w:basedOn w:val="Normal"/>
    <w:next w:val="Normal"/>
    <w:link w:val="TitleChar"/>
    <w:uiPriority w:val="10"/>
    <w:qFormat/>
    <w:rsid w:val="00B06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A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A89"/>
    <w:pPr>
      <w:spacing w:before="160"/>
      <w:jc w:val="center"/>
    </w:pPr>
    <w:rPr>
      <w:i/>
      <w:iCs/>
      <w:color w:val="404040" w:themeColor="text1" w:themeTint="BF"/>
    </w:rPr>
  </w:style>
  <w:style w:type="character" w:customStyle="1" w:styleId="QuoteChar">
    <w:name w:val="Quote Char"/>
    <w:basedOn w:val="DefaultParagraphFont"/>
    <w:link w:val="Quote"/>
    <w:uiPriority w:val="29"/>
    <w:rsid w:val="00B06A89"/>
    <w:rPr>
      <w:i/>
      <w:iCs/>
      <w:color w:val="404040" w:themeColor="text1" w:themeTint="BF"/>
    </w:rPr>
  </w:style>
  <w:style w:type="paragraph" w:styleId="ListParagraph">
    <w:name w:val="List Paragraph"/>
    <w:basedOn w:val="Normal"/>
    <w:uiPriority w:val="34"/>
    <w:qFormat/>
    <w:rsid w:val="00B06A89"/>
    <w:pPr>
      <w:ind w:left="720"/>
      <w:contextualSpacing/>
    </w:pPr>
  </w:style>
  <w:style w:type="character" w:styleId="IntenseEmphasis">
    <w:name w:val="Intense Emphasis"/>
    <w:basedOn w:val="DefaultParagraphFont"/>
    <w:uiPriority w:val="21"/>
    <w:qFormat/>
    <w:rsid w:val="00B06A89"/>
    <w:rPr>
      <w:i/>
      <w:iCs/>
      <w:color w:val="0F4761" w:themeColor="accent1" w:themeShade="BF"/>
    </w:rPr>
  </w:style>
  <w:style w:type="paragraph" w:styleId="IntenseQuote">
    <w:name w:val="Intense Quote"/>
    <w:basedOn w:val="Normal"/>
    <w:next w:val="Normal"/>
    <w:link w:val="IntenseQuoteChar"/>
    <w:uiPriority w:val="30"/>
    <w:qFormat/>
    <w:rsid w:val="00B06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A89"/>
    <w:rPr>
      <w:i/>
      <w:iCs/>
      <w:color w:val="0F4761" w:themeColor="accent1" w:themeShade="BF"/>
    </w:rPr>
  </w:style>
  <w:style w:type="character" w:styleId="IntenseReference">
    <w:name w:val="Intense Reference"/>
    <w:basedOn w:val="DefaultParagraphFont"/>
    <w:uiPriority w:val="32"/>
    <w:qFormat/>
    <w:rsid w:val="00B06A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Horham Athelington</dc:creator>
  <cp:keywords/>
  <dc:description/>
  <cp:lastModifiedBy>Horham Athelington</cp:lastModifiedBy>
  <cp:revision>2</cp:revision>
  <dcterms:created xsi:type="dcterms:W3CDTF">2025-09-11T10:31:00Z</dcterms:created>
  <dcterms:modified xsi:type="dcterms:W3CDTF">2025-09-11T11:35:00Z</dcterms:modified>
</cp:coreProperties>
</file>